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E w:val="0"/>
        <w:autoSpaceDN w:val="0"/>
        <w:jc w:val="center"/>
        <w:spacing w:line="240" w:lineRule="auto" w:after="240"/>
      </w:pPr>
      <w:r>
        <w:rPr>
          <w:rFonts w:ascii="바탕체" w:eastAsia="바탕체" w:hAnsi="바탕체" w:cs="바탕체"/>
          <w:b/>
          <w:bCs/>
          <w:u w:val="single"/>
          <w:color w:val="000000"/>
          <w:sz w:val="40"/>
          <w:szCs w:val="40"/>
          <w:w w:val="95"/>
        </w:rPr>
        <w:t xml:space="preserve">메모리 일일 변화 브리핑 · 2026-10-10</w:t>
      </w:r>
    </w:p>
    <w:p>
      <w:pPr>
        <w:autoSpaceDE w:val="0"/>
        <w:autoSpaceDN w:val="0"/>
        <w:jc w:val="right"/>
        <w:spacing w:line="240" w:lineRule="auto" w:after="36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'26. 10. 10 (토)</w:t>
      </w:r>
    </w:p>
    <w:p>
      <w:pPr>
        <w:autoSpaceDE w:val="0"/>
        <w:autoSpaceDN w:val="0"/>
        <w:spacing w:line="210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핵심 판단</w:t>
      </w:r>
    </w:p>
    <w:p>
      <w:pPr>
        <w:autoSpaceDE w:val="0"/>
        <w:autoSpaceDN w:val="0"/>
        <w:spacing w:line="210" w:lineRule="auto" w:after="240"/>
        <w:ind w:left="532" w:hanging="532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Micron 서버 LPDDR / SOCAMM 성장: 고객 인증·제품 믹스 대응 점검</w:t>
      </w:r>
      <w:hyperlink r:id="rId12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10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14"/>
        </w:rPr>
        <w:t xml:space="preserve">서버 LPDDR / SOCAMM의 고객 채택이 매출로 이어지고 있다는 경쟁사 신호임</w:t>
      </w:r>
    </w:p>
    <w:p>
      <w:pPr>
        <w:autoSpaceDE w:val="0"/>
        <w:autoSpaceDN w:val="0"/>
        <w:spacing w:line="210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고객 구성과 성장 지속성을 확인해 공급·영업 대응을 검토해야 함</w:t>
      </w:r>
    </w:p>
    <w:p>
      <w:pPr>
        <w:autoSpaceDE w:val="0"/>
        <w:autoSpaceDN w:val="0"/>
        <w:spacing w:line="210" w:lineRule="auto" w:after="18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분석 기간 : 2026.10.09 09:00 ∼ 2026.10.10 09:00 KST / 새로</w:t>
      </w:r>
    </w:p>
    <w:p>
      <w:pPr>
        <w:autoSpaceDE w:val="0"/>
        <w:autoSpaceDN w:val="0"/>
        <w:spacing w:line="210" w:lineRule="auto" w:after="40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확인·수정된 근거 기준 / 초안</w:t>
      </w:r>
    </w:p>
    <w:p>
      <w:pPr>
        <w:autoSpaceDE w:val="0"/>
        <w:autoSpaceDN w:val="0"/>
        <w:spacing w:line="210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시장·자본 동향 · GPUaaS</w:t>
      </w:r>
    </w:p>
    <w:p>
      <w:pPr>
        <w:autoSpaceDE w:val="0"/>
        <w:autoSpaceDN w:val="0"/>
        <w:spacing w:line="210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4"/>
        </w:rPr>
        <w:t xml:space="preserve">Jalapeño 첫 성능 공개: KV 캐시 배치·데이터 이동 최적화와 메모리 수요</w:t>
      </w:r>
      <w:r>
        <w:drawing xmlns:a="http://schemas.openxmlformats.org/drawingml/2006/main">
          <wp:anchor distT="0" distB="0" distL="0" distR="0" simplePos="0" relativeHeight="251660017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251075" cy="165100"/>
            <wp:effectExtent l="0" t="0" r="0" b="0"/>
            <wp:wrapNone/>
            <wp:docPr id="1017" name="Annotation 10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07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8/25일 발표 / 출처 : OpenAI 공식 발표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hyperlink r:id="rId10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10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OpenAI는 비교 조건에서 최대 처리량 기준 전력당 AI 작업이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1.5∼1.9배라고 발표했다.</w:t>
      </w:r>
    </w:p>
    <w:p>
      <w:pPr>
        <w:autoSpaceDE w:val="0"/>
        <w:autoSpaceDN w:val="0"/>
        <w:spacing w:line="210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아키텍처는 KV 캐시를 포함한 모델 상태의 배치를 다룬다.</w:t>
      </w:r>
    </w:p>
    <w:p>
      <w:pPr>
        <w:autoSpaceDE w:val="0"/>
        <w:autoSpaceDN w:val="0"/>
        <w:spacing w:line="210" w:lineRule="auto" w:after="24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단일 가속기에서 Prefill과 Decode를 함께 지원하는 설계를 설명했다.</w:t>
      </w:r>
    </w:p>
    <w:p>
      <w:pPr>
        <w:autoSpaceDE w:val="0"/>
        <w:autoSpaceDN w:val="0"/>
        <w:spacing w:line="210" w:lineRule="auto" w:after="24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4"/>
        </w:rPr>
        <w:t xml:space="preserve">조건부 해석 : OpenAI는 '26년 8월 Jalapeño의 첫 측정 결과를 공개했다.</w:t>
      </w:r>
    </w:p>
    <w:p>
      <w:pPr>
        <w:autoSpaceDE w:val="0"/>
        <w:autoSpaceDN w:val="0"/>
        <w:spacing w:line="210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전력당 작업 효율과 지연시간 개선을 주장하며, KV 캐시를 가까이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배치하고 데이터 이동을 줄이는 구조를 설명한다.</w:t>
      </w:r>
    </w:p>
    <w:p>
      <w:pPr>
        <w:autoSpaceDE w:val="0"/>
        <w:autoSpaceDN w:val="0"/>
        <w:spacing w:line="210" w:lineRule="auto" w:after="24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12"/>
        </w:rPr>
        <w:t xml:space="preserve">개발사의 측정 결과이며 범용 성능 우위나 독립 검증으로 확대하지 않는다.</w:t>
      </w:r>
    </w:p>
    <w:p>
      <w:pPr>
        <w:autoSpaceDE w:val="0"/>
        <w:autoSpaceDN w:val="0"/>
        <w:spacing w:line="210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KV 캐시 지역성·데이터 이동 최적화는 작업당 메모리 접근 비용을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낮출 수 있다.</w:t>
      </w:r>
    </w:p>
    <w:p>
      <w:pPr>
        <w:autoSpaceDE w:val="0"/>
        <w:autoSpaceDN w:val="0"/>
        <w:spacing w:line="210" w:lineRule="auto" w:after="24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동시에 처리량과 사용량 확대가 총 메모리 수요를 늘릴 수 있다.</w:t>
      </w:r>
    </w:p>
    <w:p>
      <w:pPr>
        <w:autoSpaceDE w:val="0"/>
        <w:autoSpaceDN w:val="0"/>
        <w:spacing w:line="210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효율 개선율을 HBM 구매 감소율로 바꾸지 않으며, 단위 탑재량·배치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대수·사용량을 따로 관찰한다.</w:t>
      </w:r>
    </w:p>
    <w:p>
      <w:pPr>
        <w:autoSpaceDE w:val="0"/>
        <w:autoSpaceDN w:val="0"/>
        <w:spacing w:line="210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미확인: 공개 본문만으로 HBM 세대·용량·공급업체와 실제 주문량을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확인할 수 없다.</w:t>
      </w:r>
    </w:p>
    <w:p>
      <w:pPr>
        <w:autoSpaceDE w:val="0"/>
        <w:autoSpaceDN w:val="0"/>
        <w:spacing w:line="210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모든 모델·워크로드에서 동일 효율을 보장하지 않으며 메모리 수요의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정량 변화는 미확인이다.</w:t>
      </w:r>
    </w:p>
    <w:p>
      <w:pPr>
        <w:autoSpaceDE w:val="0"/>
        <w:autoSpaceDN w:val="0"/>
        <w:spacing w:line="210" w:lineRule="auto" w:after="18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6"/>
        </w:rPr>
        <w:t xml:space="preserve">다음 확인 : 공개 본문만으로 HBM 세대·용량·공급업체와 실제 주문량을</w:t>
      </w:r>
    </w:p>
    <w:p>
      <w:pPr>
        <w:autoSpaceDE w:val="0"/>
        <w:autoSpaceDN w:val="0"/>
        <w:spacing w:line="210" w:lineRule="auto" w:after="18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6"/>
        </w:rPr>
        <w:t xml:space="preserve">확인할 수 없다. 모든 모델·워크로드에서 동일 효율을</w:t>
      </w:r>
    </w:p>
    <w:p>
      <w:pPr>
        <w:autoSpaceDE w:val="0"/>
        <w:autoSpaceDN w:val="0"/>
        <w:spacing w:line="210" w:lineRule="auto" w:after="40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6"/>
        </w:rPr>
        <w:t xml:space="preserve">보장하지 않으며 메모리 수요의 정량 변화는 미확인이다.</w:t>
      </w:r>
    </w:p>
    <w:p>
      <w:pPr>
        <w:autoSpaceDE w:val="0"/>
        <w:autoSpaceDN w:val="0"/>
        <w:spacing w:line="210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고객사 동향</w:t>
      </w:r>
    </w:p>
    <w:p>
      <w:pPr>
        <w:autoSpaceDE w:val="0"/>
        <w:autoSpaceDN w:val="0"/>
        <w:spacing w:line="210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NVIDIA 최대 128GB 통합 메모리: 공급 기회는 실제 채택 구성에 달림</w:t>
      </w:r>
      <w:r>
        <w:drawing xmlns:a="http://schemas.openxmlformats.org/drawingml/2006/main">
          <wp:anchor distT="0" distB="0" distL="0" distR="0" simplePos="0" relativeHeight="25166001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359660" cy="165100"/>
            <wp:effectExtent l="0" t="0" r="0" b="0"/>
            <wp:wrapNone/>
            <wp:docPr id="1018" name="Annotation 10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966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10/8일 발표 / 출처 : NVIDIA 공식 블로그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hyperlink r:id="rId11">
        <w:r>
          <w:rPr>
            <w:rFonts w:ascii="바탕체" w:eastAsia="바탕체" w:hAnsi="바탕체" w:cs="바탕체"/>
            <w:color w:val="3333FF"/>
            <w:sz w:val="18"/>
            <w:szCs w:val="18"/>
            <w:w w:val="95"/>
          </w:rPr>
          <w:t xml:space="preserve"> [원문]</w:t>
        </w:r>
      </w:hyperlink>
    </w:p>
    <w:p>
      <w:pPr>
        <w:autoSpaceDE w:val="0"/>
        <w:autoSpaceDN w:val="0"/>
        <w:spacing w:line="210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NVIDIA · RTX Spark는 최대 128GB 통합 메모리와 최대 1페타플롭의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AI 컴퓨트를 제공한다.</w:t>
      </w:r>
    </w:p>
    <w:p>
      <w:pPr>
        <w:autoSpaceDE w:val="0"/>
        <w:autoSpaceDN w:val="0"/>
        <w:spacing w:line="210" w:lineRule="auto" w:after="24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2"/>
        </w:rPr>
        <w:t xml:space="preserve">조건부 해석 : 제시된 용량은 고용량 메모리의 적용 범위를 보여줍니다.</w:t>
      </w:r>
    </w:p>
    <w:p>
      <w:pPr>
        <w:autoSpaceDE w:val="0"/>
        <w:autoSpaceDN w:val="0"/>
        <w:spacing w:line="210" w:lineRule="auto" w:after="18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메모리 종류·실제 출하 구성·판매 대수를 확인해야 PC DRAM 물량을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산정할 수 있음</w:t>
      </w:r>
    </w:p>
    <w:p>
      <w:pPr>
        <w:autoSpaceDE w:val="0"/>
        <w:autoSpaceDN w:val="0"/>
        <w:spacing w:line="210" w:lineRule="auto" w:after="40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다음 확인 : 메모리 종류 · 실제 탑재량 · 출하 대수</w:t>
      </w:r>
    </w:p>
    <w:p>
      <w:pPr>
        <w:autoSpaceDE w:val="0"/>
        <w:autoSpaceDN w:val="0"/>
        <w:spacing w:line="210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경쟁사 동향</w:t>
      </w:r>
    </w:p>
    <w:p>
      <w:pPr>
        <w:autoSpaceDE w:val="0"/>
        <w:autoSpaceDN w:val="0"/>
        <w:spacing w:line="210" w:lineRule="auto" w:after="240"/>
        <w:ind w:left="532" w:hanging="532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Micron 서버 LPDDR / SOCAMM 성장: 고객 인증·제품 믹스 대응 점검</w:t>
      </w:r>
      <w:r>
        <w:drawing xmlns:a="http://schemas.openxmlformats.org/drawingml/2006/main">
          <wp:anchor distT="0" distB="0" distL="0" distR="0" simplePos="0" relativeHeight="251660019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2251075" cy="165100"/>
            <wp:effectExtent l="0" t="0" r="0" b="0"/>
            <wp:wrapNone/>
            <wp:docPr id="1019" name="Annotation 10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075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autoSpaceDE w:val="0"/>
                          <w:autoSpaceDN w:val="0"/>
                        </w:pPr>
                        <w:pPr>
                          <w:autoSpaceDE w:val="0"/>
                          <w:autoSpaceDN w:val="0"/>
                          <w:spacing before="0" after="0" line="200" lineRule="exact"/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</w:pPr>
                        <w:r>
                          <w:rPr>
                            <w:rFonts w:ascii="바탕체" w:eastAsia="바탕체" w:hAnsi="바탕체" w:cs="바탕체"/>
                            <w:color w:val="3333FF"/>
                            <w:sz w:val="18"/>
                            <w:szCs w:val="18"/>
                            <w:w w:val="95"/>
                          </w:rPr>
                          <w:t xml:space="preserve">* 9/30일 발표 / 출처 : Micron 공식 발표</w:t>
                        </w:r>
                      </w:p>
                    </w:txbxContent>
                  </wps:txbx>
                  <wps:bodyPr rot="0" spcFirstLastPara="0" vertOverflow="overflow" horzOverflow="overflow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</w:p>
    <w:p>
      <w:pPr>
        <w:autoSpaceDE w:val="0"/>
        <w:autoSpaceDN w:val="0"/>
        <w:spacing w:line="210" w:lineRule="auto" w:after="180"/>
        <w:ind w:left="798" w:hanging="798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Micron · 서버 LPDDR SOCAMM 포트폴리오 매출이 2026 회계연도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4분기에 전분기 대비 2배 이상 증가했다.</w:t>
      </w:r>
    </w:p>
    <w:p>
      <w:pPr>
        <w:autoSpaceDE w:val="0"/>
        <w:autoSpaceDN w:val="0"/>
        <w:spacing w:line="210" w:lineRule="auto" w:after="180"/>
        <w:ind w:left="2527" w:hanging="2527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조건부 해석 : 서버 LPDDR / SOCAMM의 고객 채택이 매출로 이어지고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있다는 경쟁사 신호임</w:t>
      </w:r>
    </w:p>
    <w:p>
      <w:pPr>
        <w:autoSpaceDE w:val="0"/>
        <w:autoSpaceDN w:val="0"/>
        <w:spacing w:line="210" w:lineRule="auto" w:after="240"/>
        <w:ind w:left="665" w:hanging="665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고객 구성과 성장 지속성을 확인해 공급·영업 대응을 검토해야 함</w:t>
      </w:r>
    </w:p>
    <w:p>
      <w:pPr>
        <w:autoSpaceDE w:val="0"/>
        <w:autoSpaceDN w:val="0"/>
        <w:spacing w:line="210" w:lineRule="auto" w:after="24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다음 확인 : SOCAMM 후속 분기 매출 · 고객 구성 · 생산능력 배분</w:t>
      </w:r>
    </w:p>
    <w:p>
      <w:pPr>
        <w:autoSpaceDE w:val="0"/>
        <w:autoSpaceDN w:val="0"/>
        <w:spacing w:line="210" w:lineRule="auto" w:after="400"/>
        <w:ind w:left="2926" w:hanging="2926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※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자사 비교 기준 : SK하이닉스·Solidigm</w:t>
      </w:r>
    </w:p>
    <w:p>
      <w:pPr>
        <w:autoSpaceDE w:val="0"/>
        <w:autoSpaceDN w:val="0"/>
        <w:spacing w:line="210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메모리 제품별 영향</w:t>
      </w:r>
    </w:p>
    <w:p>
      <w:pPr>
        <w:autoSpaceDE w:val="0"/>
        <w:autoSpaceDN w:val="0"/>
        <w:jc w:val="center"/>
        <w:spacing w:line="210" w:lineRule="auto" w:after="0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&lt; 제품별 영향 신호와 확인 지표 &gt;</w:t>
      </w:r>
    </w:p>
    <w:tbl>
      <w:tblPr>
        <w:tblW w:w="9106" w:type="dxa"/>
        <w:tblInd w:w="532" w:type="dxa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3"/>
        <w:gridCol w:w="2023"/>
        <w:gridCol w:w="5058"/>
      </w:tblGrid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12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center"/>
              <w:spacing w:line="240" w:lineRule="auto" w:after="0"/>
            </w:pPr>
            <w:r>
              <w:rPr>
                <w:rFonts w:ascii="바탕체" w:eastAsia="바탕체" w:hAnsi="바탕체" w:cs="바탕체"/>
                <w:b/>
                <w:bCs/>
                <w:color w:val="000000"/>
                <w:sz w:val="22"/>
                <w:szCs w:val="22"/>
                <w:w w:val="95"/>
              </w:rPr>
              <w:t xml:space="preserve">제품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12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center"/>
              <w:spacing w:line="240" w:lineRule="auto" w:after="0"/>
            </w:pPr>
            <w:r>
              <w:rPr>
                <w:rFonts w:ascii="바탕체" w:eastAsia="바탕체" w:hAnsi="바탕체" w:cs="바탕체"/>
                <w:b/>
                <w:bCs/>
                <w:color w:val="000000"/>
                <w:sz w:val="22"/>
                <w:szCs w:val="22"/>
                <w:w w:val="95"/>
              </w:rPr>
              <w:t xml:space="preserve">영향 신호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12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center"/>
              <w:spacing w:line="240" w:lineRule="auto" w:after="0"/>
            </w:pPr>
            <w:r>
              <w:rPr>
                <w:rFonts w:ascii="바탕체" w:eastAsia="바탕체" w:hAnsi="바탕체" w:cs="바탕체"/>
                <w:b/>
                <w:bCs/>
                <w:color w:val="000000"/>
                <w:sz w:val="22"/>
                <w:szCs w:val="22"/>
                <w:w w:val="95"/>
              </w:rPr>
              <w:t xml:space="preserve">다음 확인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HBM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잠재 상방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칩별 탑재량·세대 / 실제 가속기 배치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서버 DRAM·LPDDR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잠재 상방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DIMM·SOCAMM 믹스 / 서버 설치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eSSD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잠재 상방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서버당 SSD 용량 / 실제 스토리지 도입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PC DRAM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방향 미확인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PC 출하 / DDR5·LPDDR·통합 메모리 구성</w:t>
            </w:r>
          </w:p>
        </w:tc>
      </w:tr>
      <w:tr>
        <w:trPr>
          <w:trHeight w:val="454" w:hRule="atLeast"/>
          <w:cantSplit/>
        </w:trPr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모바일 DRAM·NAND</w:t>
            </w:r>
          </w:p>
        </w:tc>
        <w:tc>
          <w:tcPr>
            <w:tcW w:w="2023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잠재 상방 · 조건부</w:t>
            </w:r>
          </w:p>
        </w:tc>
        <w:tc>
          <w:tcPr>
            <w:tcW w:w="5058" w:type="dxa"/>
            <w:tcBorders>
              <w:top w:val="single" w:sz="4" w:color="000000" w:space="0"/>
              <w:left w:val="single" w:sz="4" w:color="000000" w:space="0"/>
              <w:bottom w:val="single" w:sz="4" w:color="000000" w:space="0"/>
              <w:right w:val="single" w:sz="4" w:color="000000" w:space="0"/>
            </w:tcBorders>
            <w:vAlign w:val="center"/>
          </w:tcPr>
          <w:p>
            <w:pPr>
              <w:autoSpaceDE w:val="0"/>
              <w:autoSpaceDN w:val="0"/>
              <w:jc w:val="left"/>
              <w:spacing w:line="240" w:lineRule="auto" w:after="0"/>
            </w:pPr>
            <w:r>
              <w:rPr>
                <w:rFonts w:ascii="바탕체" w:eastAsia="바탕체" w:hAnsi="바탕체" w:cs="바탕체"/>
                <w:color w:val="000000"/>
                <w:sz w:val="22"/>
                <w:szCs w:val="22"/>
                <w:w w:val="95"/>
              </w:rPr>
              <w:t xml:space="preserve">스마트폰 출하 / 물리 RAM·저장용량 믹스</w:t>
            </w:r>
          </w:p>
        </w:tc>
      </w:tr>
    </w:tbl>
    <w:p>
      <w:pPr>
        <w:autoSpaceDE w:val="0"/>
        <w:autoSpaceDN w:val="0"/>
        <w:spacing w:line="40" w:lineRule="exact" w:before="0" w:after="40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/>
      </w:r>
    </w:p>
    <w:p>
      <w:pPr>
        <w:autoSpaceDE w:val="0"/>
        <w:autoSpaceDN w:val="0"/>
        <w:spacing w:line="210" w:lineRule="auto" w:after="320"/>
        <w:ind w:left="399" w:hanging="399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□ 메모리 사업 대응·다음 판단</w:t>
      </w:r>
    </w:p>
    <w:p>
      <w:pPr>
        <w:autoSpaceDE w:val="0"/>
        <w:autoSpaceDN w:val="0"/>
        <w:spacing w:line="210" w:lineRule="auto" w:after="240"/>
        <w:ind w:left="532" w:hanging="532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GPUaaS 수익성 변화가 실제 투자 집행에 미치는 영향 확인</w:t>
      </w:r>
    </w:p>
    <w:p>
      <w:pPr>
        <w:autoSpaceDE w:val="0"/>
        <w:autoSpaceDN w:val="0"/>
        <w:spacing w:line="210" w:lineRule="auto" w:after="180"/>
        <w:ind w:left="2394" w:hanging="2394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 지표 : 동일 계약의 임대료·가동률 / 현금 회수 / 차입 비용 /</w:t>
      </w:r>
    </w:p>
    <w:p>
      <w:pPr>
        <w:autoSpaceDE w:val="0"/>
        <w:autoSpaceDN w:val="0"/>
        <w:spacing w:line="210" w:lineRule="auto" w:after="24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확정 CAPEX·설치</w:t>
      </w:r>
    </w:p>
    <w:p>
      <w:pPr>
        <w:autoSpaceDE w:val="0"/>
        <w:autoSpaceDN w:val="0"/>
        <w:spacing w:line="210" w:lineRule="auto" w:after="18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판단 조건 : 가격과 투자 집행의 연결이 확인되면 고객별 메모리 수요</w:t>
      </w:r>
    </w:p>
    <w:p>
      <w:pPr>
        <w:autoSpaceDE w:val="0"/>
        <w:autoSpaceDN w:val="0"/>
        <w:spacing w:line="210" w:lineRule="auto" w:after="32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            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시나리오 재점검</w:t>
      </w:r>
    </w:p>
    <w:p>
      <w:pPr>
        <w:autoSpaceDE w:val="0"/>
        <w:autoSpaceDN w:val="0"/>
        <w:spacing w:line="210" w:lineRule="auto" w:after="240"/>
        <w:ind w:left="532" w:hanging="532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고용량 AI 기기의 OEM 채택·메모리 종류를 기준으로 고객 대응 검토</w:t>
      </w:r>
    </w:p>
    <w:p>
      <w:pPr>
        <w:autoSpaceDE w:val="0"/>
        <w:autoSpaceDN w:val="0"/>
        <w:spacing w:line="210" w:lineRule="auto" w:after="240"/>
        <w:ind w:left="2394" w:hanging="2394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 지표 : 메모리 종류 · 실제 탑재량 · 출하 대수</w:t>
      </w:r>
    </w:p>
    <w:p>
      <w:pPr>
        <w:autoSpaceDE w:val="0"/>
        <w:autoSpaceDN w:val="0"/>
        <w:spacing w:line="210" w:lineRule="auto" w:after="32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8"/>
        </w:rPr>
        <w:t xml:space="preserve">판단 조건 : 확인 결과를 해당 제품의 수요 가정과 고객 대응 계획에 반영</w:t>
      </w:r>
    </w:p>
    <w:p>
      <w:pPr>
        <w:autoSpaceDE w:val="0"/>
        <w:autoSpaceDN w:val="0"/>
        <w:spacing w:line="210" w:lineRule="auto" w:after="240"/>
        <w:ind w:left="532" w:hanging="532"/>
      </w:pP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  - </w:t>
      </w:r>
      <w:r>
        <w:rPr>
          <w:rFonts w:ascii="바탕체" w:eastAsia="바탕체" w:hAnsi="바탕체" w:cs="바탕체"/>
          <w:b/>
          <w:bCs/>
          <w:color w:val="000000"/>
          <w:sz w:val="28"/>
          <w:szCs w:val="28"/>
          <w:w w:val="95"/>
        </w:rPr>
        <w:t xml:space="preserve">서버 LPDDR / SOCAMM의 고객 인증 일정·공급 배분 우선순위 검토</w:t>
      </w:r>
    </w:p>
    <w:p>
      <w:pPr>
        <w:autoSpaceDE w:val="0"/>
        <w:autoSpaceDN w:val="0"/>
        <w:spacing w:line="210" w:lineRule="auto" w:after="240"/>
        <w:ind w:left="2394" w:hanging="2394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  ·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확인 지표 : SOCAMM 후속 분기 매출 · 고객 구성 · 생산능력 배분</w:t>
      </w:r>
    </w:p>
    <w:p>
      <w:pPr>
        <w:autoSpaceDE w:val="0"/>
        <w:autoSpaceDN w:val="0"/>
        <w:spacing w:line="210" w:lineRule="auto" w:after="240"/>
        <w:ind w:left="2261" w:hanging="2261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  → </w:t>
      </w:r>
      <w:r>
        <w:rPr>
          <w:rFonts w:ascii="바탕체" w:eastAsia="바탕체" w:hAnsi="바탕체" w:cs="바탕체"/>
          <w:color w:val="000000"/>
          <w:sz w:val="28"/>
          <w:szCs w:val="28"/>
          <w:w w:val="95"/>
          <w:spacing w:val="-8"/>
        </w:rPr>
        <w:t xml:space="preserve">판단 조건 : 확인 결과를 해당 제품의 수요 가정과 고객 대응 계획에 반영</w:t>
      </w:r>
    </w:p>
    <w:p>
      <w:pPr>
        <w:autoSpaceDE w:val="0"/>
        <w:autoSpaceDN w:val="0"/>
        <w:jc w:val="right"/>
        <w:spacing w:line="240" w:lineRule="auto" w:after="180"/>
      </w:pPr>
      <w:r>
        <w:rPr>
          <w:rFonts w:ascii="바탕체" w:eastAsia="바탕체" w:hAnsi="바탕체" w:cs="바탕체"/>
          <w:color w:val="000000"/>
          <w:sz w:val="28"/>
          <w:szCs w:val="28"/>
          <w:w w:val="95"/>
        </w:rPr>
        <w:t xml:space="preserve">- 이  상 -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851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  <w:rPr>
        <w:rFonts w:ascii="바탕체" w:eastAsia="바탕체" w:hAnsi="바탕체" w:cs="바탕체"/>
        <w:color w:val="000000"/>
        <w:sz w:val="20"/>
        <w:szCs w:val="20"/>
        <w:w w:val="95"/>
      </w:rPr>
    </w:pPr>
    <w:r>
      <w:rPr>
        <w:rFonts w:ascii="바탕체" w:eastAsia="바탕체" w:hAnsi="바탕체" w:cs="바탕체"/>
        <w:color w:val="000000"/>
        <w:sz w:val="20"/>
        <w:szCs w:val="20"/>
        <w:w w:val="95"/>
      </w:rPr>
      <w:t xml:space="preserve">- </w:t>
    </w:r>
    <w:fldSimple w:instr="PAGE" w:dirty="true">
      <w:r>
        <w:rPr>
          <w:rFonts w:ascii="바탕체" w:eastAsia="바탕체" w:hAnsi="바탕체" w:cs="바탕체"/>
          <w:color w:val="000000"/>
          <w:sz w:val="20"/>
          <w:szCs w:val="20"/>
          <w:w w:val="95"/>
        </w:rPr>
        <w:t xml:space="preserve">1</w:t>
      </w:r>
    </w:fldSimple>
    <w:r>
      <w:rPr>
        <w:rFonts w:ascii="바탕체" w:eastAsia="바탕체" w:hAnsi="바탕체" w:cs="바탕체"/>
        <w:color w:val="000000"/>
        <w:sz w:val="20"/>
        <w:szCs w:val="20"/>
        <w:w w:val="95"/>
      </w:rPr>
      <w:t xml:space="preserve"> / </w:t>
    </w:r>
    <w:fldSimple w:instr="NUMPAGES" w:dirty="true">
      <w:r>
        <w:rPr>
          <w:rFonts w:ascii="바탕체" w:eastAsia="바탕체" w:hAnsi="바탕체" w:cs="바탕체"/>
          <w:color w:val="000000"/>
          <w:sz w:val="20"/>
          <w:szCs w:val="20"/>
          <w:w w:val="95"/>
        </w:rPr>
        <w:t xml:space="preserve">1</w:t>
      </w:r>
    </w:fldSimple>
    <w:r>
      <w:rPr>
        <w:rFonts w:ascii="바탕체" w:eastAsia="바탕체" w:hAnsi="바탕체" w:cs="바탕체"/>
        <w:color w:val="000000"/>
        <w:sz w:val="20"/>
        <w:szCs w:val="20"/>
        <w:w w:val="95"/>
      </w:rPr>
      <w:t xml:space="preserve"> -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바탕체" w:eastAsia="바탕체" w:hAnsi="바탕체" w:cs="바탕체"/>
        <w:sz w:val="28"/>
        <w:szCs w:val="28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openai.com/index/jalapeno-first-results/" TargetMode="External"/><Relationship Id="rId11" Type="http://schemas.openxmlformats.org/officeDocument/2006/relationships/hyperlink" Target="https://blogs.nvidia.com/blog/local-ai-rtx-spark-microsoft-windows-event/" TargetMode="External"/><Relationship Id="rId12" Type="http://schemas.openxmlformats.org/officeDocument/2006/relationships/hyperlink" Target="https://investors.micron.com/news/press-release/2026/Micron-Technology-Inc--Reports-Record-Fiscal-Fourth-Quarter-and-Full-Year-2026-Resul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메모리 일일 변화 브리핑 · 2026-10-10</dc:title>
  <dc:subject>메모리 전략 브리핑 · 근거 기반 조건부 판단</dc:subject>
  <dc:creator>python-docx</dc:creator>
  <cp:keywords/>
  <dc:description>Generated using samsung-word-writer-pro-v2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