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E w:val="0"/>
        <w:autoSpaceDN w:val="0"/>
        <w:jc w:val="center"/>
        <w:spacing w:line="240" w:lineRule="auto" w:after="240"/>
      </w:pPr>
      <w:r>
        <w:rPr>
          <w:rFonts w:ascii="바탕체" w:eastAsia="바탕체" w:hAnsi="바탕체" w:cs="바탕체"/>
          <w:b/>
          <w:bCs/>
          <w:u w:val="single"/>
          <w:color w:val="000000"/>
          <w:sz w:val="40"/>
          <w:szCs w:val="40"/>
          <w:w w:val="95"/>
        </w:rPr>
        <w:t xml:space="preserve">메모리 전략 브리핑 · 최초 기준본 · 2026-10-10</w:t>
      </w:r>
    </w:p>
    <w:p>
      <w:pPr>
        <w:autoSpaceDE w:val="0"/>
        <w:autoSpaceDN w:val="0"/>
        <w:jc w:val="right"/>
        <w:spacing w:line="240" w:lineRule="auto" w:after="36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'26. 10. 10 (토)</w:t>
      </w:r>
    </w:p>
    <w:p>
      <w:pPr>
        <w:autoSpaceDE w:val="0"/>
        <w:autoSpaceDN w:val="0"/>
        <w:spacing w:line="223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핵심 판단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Micron 서버 LPDDR / SOCAMM 성장: 고객 인증·제품 믹스 대응 점검</w:t>
      </w:r>
      <w:hyperlink r:id="rId15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23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14"/>
        </w:rPr>
        <w:t xml:space="preserve">서버 LPDDR / SOCAMM의 고객 채택이 매출로 이어지고 있다는 경쟁사 신호임</w:t>
      </w:r>
    </w:p>
    <w:p>
      <w:pPr>
        <w:autoSpaceDE w:val="0"/>
        <w:autoSpaceDN w:val="0"/>
        <w:spacing w:line="223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고객 구성과 성장 지속성을 확인해 공급·영업 대응을 검토해야 함</w:t>
      </w:r>
    </w:p>
    <w:p>
      <w:pPr>
        <w:autoSpaceDE w:val="0"/>
        <w:autoSpaceDN w:val="0"/>
        <w:spacing w:line="223" w:lineRule="auto" w:after="18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분석 기간 : 2026.10.03 15:17 ∼ 2026.10.10 15:17 KST / 새로</w:t>
      </w:r>
    </w:p>
    <w:p>
      <w:pPr>
        <w:autoSpaceDE w:val="0"/>
        <w:autoSpaceDN w:val="0"/>
        <w:spacing w:line="223" w:lineRule="auto" w:after="40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확인·수정된 근거 기준 / 초안</w:t>
      </w:r>
    </w:p>
    <w:p>
      <w:pPr>
        <w:autoSpaceDE w:val="0"/>
        <w:autoSpaceDN w:val="0"/>
        <w:spacing w:line="223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시장·자본 동향 · GPUaaS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OpenAI ARR $70B·$50B: 매출 기준을 맞춘 뒤 투자 여력을 판단</w:t>
      </w:r>
      <w:r>
        <w:drawing xmlns:a="http://schemas.openxmlformats.org/drawingml/2006/main">
          <wp:anchor distT="0" distB="0" distL="0" distR="0" simplePos="0" relativeHeight="2516600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960370" cy="165100"/>
            <wp:effectExtent l="0" t="0" r="0" b="0"/>
            <wp:wrapNone/>
            <wp:docPr id="1020" name="Annotation 10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037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10/9일 발표 / 출처 : Axios · OpenAI ARR 기준 비교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0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Axios는 OpenAI의 $50B 연율 매출과 앞서 보도한 $70B의 차이를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파트너 매출의 총액·순액 처리 차이로 설명했음</w:t>
      </w:r>
    </w:p>
    <w:p>
      <w:pPr>
        <w:autoSpaceDE w:val="0"/>
        <w:autoSpaceDN w:val="0"/>
        <w:spacing w:line="223" w:lineRule="auto" w:after="24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조건부 해석 : 두 수치를 같은 기준의 매출 하락으로 비교할 수 없음</w:t>
      </w:r>
    </w:p>
    <w:p>
      <w:pPr>
        <w:autoSpaceDE w:val="0"/>
        <w:autoSpaceDN w:val="0"/>
        <w:spacing w:line="223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동일 기준 실현 매출·현금 회수·추론 원가가 악화되고 실제 컴퓨트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조달이 축소될 때 메모리 주문의 하방 위험을 검토함</w:t>
      </w:r>
    </w:p>
    <w:p>
      <w:pPr>
        <w:autoSpaceDE w:val="0"/>
        <w:autoSpaceDN w:val="0"/>
        <w:spacing w:line="223" w:lineRule="auto" w:after="18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다음 확인 : 동일 기준 매출·유료 사용량 → 현금 회수·추론 원가 →</w:t>
      </w:r>
    </w:p>
    <w:p>
      <w:pPr>
        <w:autoSpaceDE w:val="0"/>
        <w:autoSpaceDN w:val="0"/>
        <w:spacing w:line="223" w:lineRule="auto" w:after="32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확정 클라우드 조달 → 서버 설치·HBM/DRAM/SSD 구성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중국 AI 모델 간 경쟁 심화, 반도체 부문 발전과 함께</w:t>
      </w:r>
      <w:r>
        <w:drawing xmlns:a="http://schemas.openxmlformats.org/drawingml/2006/main">
          <wp:anchor distT="0" distB="0" distL="0" distR="0" simplePos="0" relativeHeight="251660021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905125" cy="165100"/>
            <wp:effectExtent l="0" t="0" r="0" b="0"/>
            <wp:wrapNone/>
            <wp:docPr id="1021" name="Annotation 10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512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10/9일 발표 / 출처 : Goldman Sachs · 공개 리서치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1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중국 반도체 산업의 발전이 시장 예상을 뛰어넘고 있으며, 현지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파운드리들이 분석가 예상보다 큰 용량 확장 계획을 가지고 있다.</w:t>
      </w:r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반도체 장비 제조사들이 향후 수년간 전년 대비 40% 매출 증가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가이던스를 발표했다.</w:t>
      </w:r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광네트워킹 총 유효 시장(TAM)이 '28년까지 9배 증가하여 1,540억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달러에 달할 것으로 예상된다.</w:t>
      </w:r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중국 오픈웨이트 LLM이 미국 하이퍼스케일러 클라우드 시스템에</w:t>
      </w:r>
    </w:p>
    <w:p>
      <w:pPr>
        <w:autoSpaceDE w:val="0"/>
        <w:autoSpaceDN w:val="0"/>
        <w:spacing w:line="223" w:lineRule="auto" w:after="18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탑재되고 있으며, 데이터와 컴퓨팅을 국내 서버에 유지함으로써 보안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기준이 높은 국가들도 중국 AI 모델 사용을 허용할 수 있다.</w:t>
      </w:r>
    </w:p>
    <w:p>
      <w:pPr>
        <w:autoSpaceDE w:val="0"/>
        <w:autoSpaceDN w:val="0"/>
        <w:spacing w:line="223" w:lineRule="auto" w:after="24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조건부 해석 : 원문 요약과 인용 검증은 완료했음</w:t>
      </w:r>
    </w:p>
    <w:p>
      <w:pPr>
        <w:autoSpaceDE w:val="0"/>
        <w:autoSpaceDN w:val="0"/>
        <w:spacing w:line="223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검증을 통과한 제품·기업별 영향 분석이 없어 메모리 사업 영향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판단은 보류함</w:t>
      </w:r>
    </w:p>
    <w:p>
      <w:pPr>
        <w:autoSpaceDE w:val="0"/>
        <w:autoSpaceDN w:val="0"/>
        <w:spacing w:line="223" w:lineRule="auto" w:after="18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다음 확인 : AI 모델 경쟁 심화가 메모리 수요(특히 HBM, 서버 DRAM,</w:t>
      </w:r>
    </w:p>
    <w:p>
      <w:pPr>
        <w:autoSpaceDE w:val="0"/>
        <w:autoSpaceDN w:val="0"/>
        <w:spacing w:line="223" w:lineRule="auto" w:after="18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ESSD)에 미치는 구체적 영향, 중국 반도체 자급률 향상이</w:t>
      </w:r>
    </w:p>
    <w:p>
      <w:pPr>
        <w:autoSpaceDE w:val="0"/>
        <w:autoSpaceDN w:val="0"/>
        <w:spacing w:line="223" w:lineRule="auto" w:after="18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메모리 공급망에 미치는 영향, 하네스 계층 투자가 메모리</w:t>
      </w:r>
    </w:p>
    <w:p>
      <w:pPr>
        <w:autoSpaceDE w:val="0"/>
        <w:autoSpaceDN w:val="0"/>
        <w:spacing w:line="223" w:lineRule="auto" w:after="32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사용량에 미치는 영향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OCPI · B200 / 2026-10-09 UTC</w:t>
      </w:r>
      <w:r>
        <w:drawing xmlns:a="http://schemas.openxmlformats.org/drawingml/2006/main">
          <wp:anchor distT="0" distB="0" distL="0" distR="0" simplePos="0" relativeHeight="25166002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835660" cy="165100"/>
            <wp:effectExtent l="0" t="0" r="0" b="0"/>
            <wp:wrapNone/>
            <wp:docPr id="1022" name="Annotation 10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566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출처 : Ornn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2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23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OCPI · B200의 최신 일별 임대료 지수는 $7.460/GPU·시간임</w:t>
      </w:r>
    </w:p>
    <w:p>
      <w:pPr>
        <w:autoSpaceDE w:val="0"/>
        <w:autoSpaceDN w:val="0"/>
        <w:spacing w:line="223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7일 전(10.02) 대비 5.6% 하락했음</w:t>
      </w:r>
    </w:p>
    <w:p>
      <w:pPr>
        <w:autoSpaceDE w:val="0"/>
        <w:autoSpaceDN w:val="0"/>
        <w:spacing w:line="223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30일 전(09.09) 대비 9.4% 상승했음</w:t>
      </w:r>
    </w:p>
    <w:p>
      <w:pPr>
        <w:autoSpaceDE w:val="0"/>
        <w:autoSpaceDN w:val="0"/>
        <w:spacing w:line="223" w:lineRule="auto" w:after="18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조건부 해석 : OCPI · B200 임대료 하락은 같은 가동률에서 GPUaaS의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GPU당 매출을 낮춥니다.</w:t>
      </w:r>
    </w:p>
    <w:p>
      <w:pPr>
        <w:autoSpaceDE w:val="0"/>
        <w:autoSpaceDN w:val="0"/>
        <w:spacing w:line="223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모델 개발사의 컴퓨트 비용 절감과 사용량 확대 가능성도 함께 확인할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시점임</w:t>
      </w:r>
    </w:p>
    <w:p>
      <w:pPr>
        <w:autoSpaceDE w:val="0"/>
        <w:autoSpaceDN w:val="0"/>
        <w:spacing w:line="223" w:lineRule="auto" w:after="400"/>
        <w:ind w:left="2394" w:hanging="2394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범위·단위 : 글로벌 Neocloud · 온디맨드 임대 / USD/GPU-hour</w:t>
      </w:r>
    </w:p>
    <w:p>
      <w:pPr>
        <w:autoSpaceDE w:val="0"/>
        <w:autoSpaceDN w:val="0"/>
        <w:spacing w:line="223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고객사 동향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NVIDIA 최대 128GB 통합 메모리: 공급 기회는 실제 채택 구성에 달림</w:t>
      </w:r>
      <w:r>
        <w:drawing xmlns:a="http://schemas.openxmlformats.org/drawingml/2006/main">
          <wp:anchor distT="0" distB="0" distL="0" distR="0" simplePos="0" relativeHeight="251660023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359660" cy="165100"/>
            <wp:effectExtent l="0" t="0" r="0" b="0"/>
            <wp:wrapNone/>
            <wp:docPr id="1023" name="Annotation 10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66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10/8일 발표 / 출처 : NVIDIA 공식 블로그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3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NVIDIA · RTX Spark는 최대 128GB 통합 메모리와 최대 1페타플롭의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AI 컴퓨트를 제공한다.</w:t>
      </w:r>
    </w:p>
    <w:p>
      <w:pPr>
        <w:autoSpaceDE w:val="0"/>
        <w:autoSpaceDN w:val="0"/>
        <w:spacing w:line="223" w:lineRule="auto" w:after="24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2"/>
        </w:rPr>
        <w:t xml:space="preserve">조건부 해석 : 제시된 용량은 고용량 메모리의 적용 범위를 보여줍니다.</w:t>
      </w:r>
    </w:p>
    <w:p>
      <w:pPr>
        <w:autoSpaceDE w:val="0"/>
        <w:autoSpaceDN w:val="0"/>
        <w:spacing w:line="223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메모리 종류·실제 출하 구성·판매 대수를 확인해야 PC DRAM 물량을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산정할 수 있음</w:t>
      </w:r>
    </w:p>
    <w:p>
      <w:pPr>
        <w:autoSpaceDE w:val="0"/>
        <w:autoSpaceDN w:val="0"/>
        <w:spacing w:line="223" w:lineRule="auto" w:after="32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다음 확인 : 메모리 종류 · 실제 탑재량 · 출하 대수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PC DRAM 제품 출시 계획: 공급 대응은 실제 채택 규모에 맞춰 검토</w:t>
      </w:r>
      <w:r>
        <w:drawing xmlns:a="http://schemas.openxmlformats.org/drawingml/2006/main">
          <wp:anchor distT="0" distB="0" distL="0" distR="0" simplePos="0" relativeHeight="2516600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359660" cy="165100"/>
            <wp:effectExtent l="0" t="0" r="0" b="0"/>
            <wp:wrapNone/>
            <wp:docPr id="1024" name="Annotation 10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66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10/2일 발표 / 출처 : NVIDIA 공식 블로그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4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NVIDIA · DGX Spark 64GB 구성이 이번 달 Acer, ASUS, Dell,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Gigabyte, HP, MSI를 통해 출시될 예정이다.</w:t>
      </w:r>
    </w:p>
    <w:p>
      <w:pPr>
        <w:autoSpaceDE w:val="0"/>
        <w:autoSpaceDN w:val="0"/>
        <w:spacing w:line="223" w:lineRule="auto" w:after="18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조건부 해석 : 출시 계획은 고객의 메모리 구성 선택지가 넓어질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가능성을 보여줍니다.</w:t>
      </w:r>
    </w:p>
    <w:p>
      <w:pPr>
        <w:autoSpaceDE w:val="0"/>
        <w:autoSpaceDN w:val="0"/>
        <w:spacing w:line="223" w:lineRule="auto" w:after="24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2"/>
        </w:rPr>
        <w:t xml:space="preserve">실제 채택 구성과 출하 물량을 확인해 PC DRAM 공급 전략에 반영해야 함</w:t>
      </w:r>
    </w:p>
    <w:p>
      <w:pPr>
        <w:autoSpaceDE w:val="0"/>
        <w:autoSpaceDN w:val="0"/>
        <w:spacing w:line="223" w:lineRule="auto" w:after="40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10"/>
        </w:rPr>
        <w:t xml:space="preserve">다음 확인 : DGX Spark 64GB 출하 일정 · OEM별 판매 대수 · 메모리 구성</w:t>
      </w:r>
    </w:p>
    <w:p>
      <w:pPr>
        <w:autoSpaceDE w:val="0"/>
        <w:autoSpaceDN w:val="0"/>
        <w:spacing w:line="223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경쟁사 동향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Micron 서버 LPDDR / SOCAMM 성장: 고객 인증·제품 믹스 대응 점검</w:t>
      </w:r>
      <w:r>
        <w:drawing xmlns:a="http://schemas.openxmlformats.org/drawingml/2006/main">
          <wp:anchor distT="0" distB="0" distL="0" distR="0" simplePos="0" relativeHeight="251660025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251075" cy="165100"/>
            <wp:effectExtent l="0" t="0" r="0" b="0"/>
            <wp:wrapNone/>
            <wp:docPr id="1025" name="Annotation 10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07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9/30일 발표 / 출처 : Micron 공식 발표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Micron · 서버 LPDDR SOCAMM 포트폴리오 매출이 2026 회계연도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4분기에 전분기 대비 2배 이상 증가했다.</w:t>
      </w:r>
    </w:p>
    <w:p>
      <w:pPr>
        <w:autoSpaceDE w:val="0"/>
        <w:autoSpaceDN w:val="0"/>
        <w:spacing w:line="223" w:lineRule="auto" w:after="18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조건부 해석 : 서버 LPDDR / SOCAMM의 고객 채택이 매출로 이어지고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있다는 경쟁사 신호임</w:t>
      </w:r>
    </w:p>
    <w:p>
      <w:pPr>
        <w:autoSpaceDE w:val="0"/>
        <w:autoSpaceDN w:val="0"/>
        <w:spacing w:line="223" w:lineRule="auto" w:after="24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고객 구성과 성장 지속성을 확인해 공급·영업 대응을 검토해야 함</w:t>
      </w:r>
    </w:p>
    <w:p>
      <w:pPr>
        <w:autoSpaceDE w:val="0"/>
        <w:autoSpaceDN w:val="0"/>
        <w:spacing w:line="223" w:lineRule="auto" w:after="32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다음 확인 : SOCAMM 후속 분기 매출 · 고객 구성 · 생산능력 배분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HBM 공급 기회: 실제 구매량으로 영업·공급 우선순위 검증</w:t>
      </w:r>
      <w:r>
        <w:drawing xmlns:a="http://schemas.openxmlformats.org/drawingml/2006/main">
          <wp:anchor distT="0" distB="0" distL="0" distR="0" simplePos="0" relativeHeight="25166002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357755" cy="165100"/>
            <wp:effectExtent l="0" t="0" r="0" b="0"/>
            <wp:wrapNone/>
            <wp:docPr id="1026" name="Annotation 10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75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7/30일 발표 / 출처 : 삼성전자 공식 발표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6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23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삼성전자 · 메모리 사업은 HBM4 판매를 확대했고 주요 고객에게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HBM4E 샘플을 출하했다.</w:t>
      </w:r>
    </w:p>
    <w:p>
      <w:pPr>
        <w:autoSpaceDE w:val="0"/>
        <w:autoSpaceDN w:val="0"/>
        <w:spacing w:line="223" w:lineRule="auto" w:after="24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조건부 해석 : HBM 수요 확대의 검토 근거임</w:t>
      </w:r>
    </w:p>
    <w:p>
      <w:pPr>
        <w:autoSpaceDE w:val="0"/>
        <w:autoSpaceDN w:val="0"/>
        <w:spacing w:line="223" w:lineRule="auto" w:after="24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채택 범위와 실제 구매량을 확인해 공급·영업 계획에 반영해야 함</w:t>
      </w:r>
    </w:p>
    <w:p>
      <w:pPr>
        <w:autoSpaceDE w:val="0"/>
        <w:autoSpaceDN w:val="0"/>
        <w:spacing w:line="223" w:lineRule="auto" w:after="24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다음 확인 : HBM4E 인증·양산 전환, HBM4 매출 비중, 고객 채택 발표</w:t>
      </w:r>
    </w:p>
    <w:p>
      <w:pPr>
        <w:autoSpaceDE w:val="0"/>
        <w:autoSpaceDN w:val="0"/>
        <w:spacing w:line="223" w:lineRule="auto" w:after="400"/>
        <w:ind w:left="2926" w:hanging="2926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자사 비교 기준 : SK하이닉스·Solidigm</w:t>
      </w:r>
    </w:p>
    <w:p>
      <w:pPr>
        <w:autoSpaceDE w:val="0"/>
        <w:autoSpaceDN w:val="0"/>
        <w:spacing w:line="223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메모리 제품별 영향</w:t>
      </w:r>
    </w:p>
    <w:p>
      <w:pPr>
        <w:autoSpaceDE w:val="0"/>
        <w:autoSpaceDN w:val="0"/>
        <w:jc w:val="center"/>
        <w:spacing w:line="223" w:lineRule="auto" w:after="0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&lt; 제품별 영향 신호와 확인 지표 &gt;</w:t>
      </w:r>
    </w:p>
    <w:tbl>
      <w:tblPr>
        <w:tblW w:w="9106" w:type="dxa"/>
        <w:tblInd w:w="532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3"/>
        <w:gridCol w:w="2023"/>
        <w:gridCol w:w="5058"/>
      </w:tblGrid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12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center"/>
              <w:spacing w:line="240" w:lineRule="auto" w:after="0"/>
            </w:pPr>
            <w:r>
              <w:rPr>
                <w:rFonts w:ascii="바탕체" w:eastAsia="바탕체" w:hAnsi="바탕체" w:cs="바탕체"/>
                <w:b/>
                <w:bCs/>
                <w:color w:val="000000"/>
                <w:sz w:val="22"/>
                <w:szCs w:val="22"/>
                <w:w w:val="95"/>
              </w:rPr>
              <w:t xml:space="preserve">제품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12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center"/>
              <w:spacing w:line="240" w:lineRule="auto" w:after="0"/>
            </w:pPr>
            <w:r>
              <w:rPr>
                <w:rFonts w:ascii="바탕체" w:eastAsia="바탕체" w:hAnsi="바탕체" w:cs="바탕체"/>
                <w:b/>
                <w:bCs/>
                <w:color w:val="000000"/>
                <w:sz w:val="22"/>
                <w:szCs w:val="22"/>
                <w:w w:val="95"/>
              </w:rPr>
              <w:t xml:space="preserve">영향 신호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12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center"/>
              <w:spacing w:line="240" w:lineRule="auto" w:after="0"/>
            </w:pPr>
            <w:r>
              <w:rPr>
                <w:rFonts w:ascii="바탕체" w:eastAsia="바탕체" w:hAnsi="바탕체" w:cs="바탕체"/>
                <w:b/>
                <w:bCs/>
                <w:color w:val="000000"/>
                <w:sz w:val="22"/>
                <w:szCs w:val="22"/>
                <w:w w:val="95"/>
              </w:rPr>
              <w:t xml:space="preserve">다음 확인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HBM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칩별 탑재량·세대 / 실제 가속기 배치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서버 DRAM·LPDDR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DIMM·SOCAMM 믹스 / 서버 설치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eSSD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서버당 SSD 용량 / 실제 스토리지 도입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PC DRAM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방향 미확인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PC 출하 / DDR5·LPDDR·통합 메모리 구성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모바일 DRAM·NAND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스마트폰 출하 / 물리 RAM·저장용량 믹스</w:t>
            </w:r>
          </w:p>
        </w:tc>
      </w:tr>
    </w:tbl>
    <w:p>
      <w:pPr>
        <w:autoSpaceDE w:val="0"/>
        <w:autoSpaceDN w:val="0"/>
        <w:spacing w:line="40" w:lineRule="exact" w:before="0" w:after="40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/>
      </w:r>
    </w:p>
    <w:p>
      <w:pPr>
        <w:autoSpaceDE w:val="0"/>
        <w:autoSpaceDN w:val="0"/>
        <w:spacing w:line="223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메모리 사업 대응·다음 판단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GPUaaS 수익성 변화가 실제 투자 집행에 미치는 영향 확인</w:t>
      </w:r>
    </w:p>
    <w:p>
      <w:pPr>
        <w:autoSpaceDE w:val="0"/>
        <w:autoSpaceDN w:val="0"/>
        <w:spacing w:line="223" w:lineRule="auto" w:after="180"/>
        <w:ind w:left="2394" w:hanging="2394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 지표 : 동일 계약의 임대료·가동률 / 현금 회수 / 차입 비용 /</w:t>
      </w:r>
    </w:p>
    <w:p>
      <w:pPr>
        <w:autoSpaceDE w:val="0"/>
        <w:autoSpaceDN w:val="0"/>
        <w:spacing w:line="223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확정 CAPEX·설치</w:t>
      </w:r>
    </w:p>
    <w:p>
      <w:pPr>
        <w:autoSpaceDE w:val="0"/>
        <w:autoSpaceDN w:val="0"/>
        <w:spacing w:line="223" w:lineRule="auto" w:after="18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판단 조건 : 가격과 투자 집행의 연결이 확인되면 고객별 메모리 수요</w:t>
      </w:r>
    </w:p>
    <w:p>
      <w:pPr>
        <w:autoSpaceDE w:val="0"/>
        <w:autoSpaceDN w:val="0"/>
        <w:spacing w:line="223" w:lineRule="auto" w:after="32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시나리오 재점검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고용량 AI 기기의 OEM 채택·메모리 종류를 기준으로 고객 대응 검토</w:t>
      </w:r>
    </w:p>
    <w:p>
      <w:pPr>
        <w:autoSpaceDE w:val="0"/>
        <w:autoSpaceDN w:val="0"/>
        <w:spacing w:line="223" w:lineRule="auto" w:after="240"/>
        <w:ind w:left="2394" w:hanging="2394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 지표 : 메모리 종류 · 실제 탑재량 · 출하 대수</w:t>
      </w:r>
    </w:p>
    <w:p>
      <w:pPr>
        <w:autoSpaceDE w:val="0"/>
        <w:autoSpaceDN w:val="0"/>
        <w:spacing w:line="223" w:lineRule="auto" w:after="32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8"/>
        </w:rPr>
        <w:t xml:space="preserve">판단 조건 : 확인 결과를 해당 제품의 수요 가정과 고객 대응 계획에 반영</w:t>
      </w:r>
    </w:p>
    <w:p>
      <w:pPr>
        <w:autoSpaceDE w:val="0"/>
        <w:autoSpaceDN w:val="0"/>
        <w:spacing w:line="223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서버 LPDDR / SOCAMM의 고객 인증 일정·공급 배분 우선순위 검토</w:t>
      </w:r>
    </w:p>
    <w:p>
      <w:pPr>
        <w:autoSpaceDE w:val="0"/>
        <w:autoSpaceDN w:val="0"/>
        <w:spacing w:line="223" w:lineRule="auto" w:after="240"/>
        <w:ind w:left="2394" w:hanging="2394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 지표 : SOCAMM 후속 분기 매출 · 고객 구성 · 생산능력 배분</w:t>
      </w:r>
    </w:p>
    <w:p>
      <w:pPr>
        <w:autoSpaceDE w:val="0"/>
        <w:autoSpaceDN w:val="0"/>
        <w:spacing w:line="223" w:lineRule="auto" w:after="24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8"/>
        </w:rPr>
        <w:t xml:space="preserve">판단 조건 : 확인 결과를 해당 제품의 수요 가정과 고객 대응 계획에 반영</w:t>
      </w:r>
    </w:p>
    <w:p>
      <w:pPr>
        <w:autoSpaceDE w:val="0"/>
        <w:autoSpaceDN w:val="0"/>
        <w:jc w:val="right"/>
        <w:spacing w:line="240" w:lineRule="auto" w:after="18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- 이  상 -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851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  <w:rPr>
        <w:rFonts w:ascii="바탕체" w:eastAsia="바탕체" w:hAnsi="바탕체" w:cs="바탕체"/>
        <w:color w:val="000000"/>
        <w:sz w:val="20"/>
        <w:szCs w:val="20"/>
        <w:w w:val="95"/>
      </w:rPr>
    </w:pPr>
    <w:r>
      <w:rPr>
        <w:rFonts w:ascii="바탕체" w:eastAsia="바탕체" w:hAnsi="바탕체" w:cs="바탕체"/>
        <w:color w:val="000000"/>
        <w:sz w:val="20"/>
        <w:szCs w:val="20"/>
        <w:w w:val="95"/>
      </w:rPr>
      <w:t xml:space="preserve">- </w:t>
    </w:r>
    <w:fldSimple w:instr="PAGE" w:dirty="true">
      <w:r>
        <w:rPr>
          <w:rFonts w:ascii="바탕체" w:eastAsia="바탕체" w:hAnsi="바탕체" w:cs="바탕체"/>
          <w:color w:val="000000"/>
          <w:sz w:val="20"/>
          <w:szCs w:val="20"/>
          <w:w w:val="95"/>
        </w:rPr>
        <w:t xml:space="preserve">1</w:t>
      </w:r>
    </w:fldSimple>
    <w:r>
      <w:rPr>
        <w:rFonts w:ascii="바탕체" w:eastAsia="바탕체" w:hAnsi="바탕체" w:cs="바탕체"/>
        <w:color w:val="000000"/>
        <w:sz w:val="20"/>
        <w:szCs w:val="20"/>
        <w:w w:val="95"/>
      </w:rPr>
      <w:t xml:space="preserve"> / </w:t>
    </w:r>
    <w:fldSimple w:instr="NUMPAGES" w:dirty="true">
      <w:r>
        <w:rPr>
          <w:rFonts w:ascii="바탕체" w:eastAsia="바탕체" w:hAnsi="바탕체" w:cs="바탕체"/>
          <w:color w:val="000000"/>
          <w:sz w:val="20"/>
          <w:szCs w:val="20"/>
          <w:w w:val="95"/>
        </w:rPr>
        <w:t xml:space="preserve">1</w:t>
      </w:r>
    </w:fldSimple>
    <w:r>
      <w:rPr>
        <w:rFonts w:ascii="바탕체" w:eastAsia="바탕체" w:hAnsi="바탕체" w:cs="바탕체"/>
        <w:color w:val="000000"/>
        <w:sz w:val="20"/>
        <w:szCs w:val="20"/>
        <w:w w:val="95"/>
      </w:rPr>
      <w:t xml:space="preserve"> -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바탕체" w:eastAsia="바탕체" w:hAnsi="바탕체" w:cs="바탕체"/>
        <w:sz w:val="28"/>
        <w:szCs w:val="28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axios.com/2026/10/08/openai-50-billion-arr-anthropic-revenue-accounting" TargetMode="External"/><Relationship Id="rId11" Type="http://schemas.openxmlformats.org/officeDocument/2006/relationships/hyperlink" Target="https://www.goldmansachs.com/insights/articles/competition-among-chinas-ai-models-is-intensifying-as-chip-sector-advances" TargetMode="External"/><Relationship Id="rId12" Type="http://schemas.openxmlformats.org/officeDocument/2006/relationships/hyperlink" Target="https://api.ornnai.com/api/gpu/B200/index-history" TargetMode="External"/><Relationship Id="rId13" Type="http://schemas.openxmlformats.org/officeDocument/2006/relationships/hyperlink" Target="https://blogs.nvidia.com/blog/local-ai-rtx-spark-microsoft-windows-event/" TargetMode="External"/><Relationship Id="rId14" Type="http://schemas.openxmlformats.org/officeDocument/2006/relationships/hyperlink" Target="https://blogs.nvidia.com/blog/local-ai-dgx-spark-64gb-sync/" TargetMode="External"/><Relationship Id="rId15" Type="http://schemas.openxmlformats.org/officeDocument/2006/relationships/hyperlink" Target="https://investors.micron.com/news/press-release/2026/Micron-Technology-Inc--Reports-Record-Fiscal-Fourth-Quarter-and-Full-Year-2026-Results/" TargetMode="External"/><Relationship Id="rId16" Type="http://schemas.openxmlformats.org/officeDocument/2006/relationships/hyperlink" Target="https://news.samsung.com/global/samsung-electronics-announces-second-quarter-2026-res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메모리 전략 브리핑 · 최초 기준본 · 2026-10-10</dc:title>
  <dc:subject>메모리 전략 브리핑 · 근거 기반 조건부 판단</dc:subject>
  <dc:creator>python-docx</dc:creator>
  <cp:keywords/>
  <dc:description>Generated using samsung-word-writer-pro-v2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